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B" w:rsidRDefault="00AE4A3C">
      <w:pPr>
        <w:pStyle w:val="1"/>
        <w:jc w:val="center"/>
        <w:rPr>
          <w:sz w:val="28"/>
          <w:szCs w:val="28"/>
        </w:rPr>
      </w:pPr>
      <w:r>
        <w:rPr>
          <w:rFonts w:hint="eastAsia"/>
          <w:sz w:val="28"/>
          <w:szCs w:val="28"/>
        </w:rPr>
        <w:t>驿达公司2020年</w:t>
      </w:r>
      <w:r>
        <w:rPr>
          <w:sz w:val="28"/>
          <w:szCs w:val="28"/>
        </w:rPr>
        <w:t>第</w:t>
      </w:r>
      <w:r>
        <w:rPr>
          <w:rFonts w:hint="eastAsia"/>
          <w:sz w:val="28"/>
          <w:szCs w:val="28"/>
        </w:rPr>
        <w:t>三季度部分经营项目招商公告</w:t>
      </w:r>
    </w:p>
    <w:p w:rsidR="00D15BAB" w:rsidRDefault="00AE4A3C">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D15BAB" w:rsidRDefault="00AE4A3C">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9990"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7"/>
        <w:gridCol w:w="2059"/>
        <w:gridCol w:w="1202"/>
        <w:gridCol w:w="3690"/>
        <w:gridCol w:w="1217"/>
        <w:gridCol w:w="1195"/>
      </w:tblGrid>
      <w:tr w:rsidR="00D15BAB" w:rsidTr="00381AFF">
        <w:trPr>
          <w:trHeight w:val="209"/>
          <w:tblCellSpacing w:w="15" w:type="dxa"/>
        </w:trPr>
        <w:tc>
          <w:tcPr>
            <w:tcW w:w="582" w:type="dxa"/>
            <w:tcMar>
              <w:top w:w="15" w:type="dxa"/>
              <w:left w:w="15" w:type="dxa"/>
              <w:bottom w:w="15" w:type="dxa"/>
              <w:right w:w="15" w:type="dxa"/>
            </w:tcMar>
            <w:vAlign w:val="center"/>
          </w:tcPr>
          <w:p w:rsidR="00D15BAB" w:rsidRDefault="00AE4A3C">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2029" w:type="dxa"/>
            <w:tcMar>
              <w:top w:w="15" w:type="dxa"/>
              <w:left w:w="15" w:type="dxa"/>
              <w:bottom w:w="15" w:type="dxa"/>
              <w:right w:w="15" w:type="dxa"/>
            </w:tcMar>
            <w:vAlign w:val="center"/>
          </w:tcPr>
          <w:p w:rsidR="00D15BAB" w:rsidRDefault="00AE4A3C">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72" w:type="dxa"/>
            <w:tcMar>
              <w:top w:w="15" w:type="dxa"/>
              <w:left w:w="15" w:type="dxa"/>
              <w:bottom w:w="15" w:type="dxa"/>
              <w:right w:w="15" w:type="dxa"/>
            </w:tcMar>
            <w:vAlign w:val="center"/>
          </w:tcPr>
          <w:p w:rsidR="00D15BAB" w:rsidRDefault="00AE4A3C">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60" w:type="dxa"/>
            <w:tcMar>
              <w:top w:w="15" w:type="dxa"/>
              <w:left w:w="15" w:type="dxa"/>
              <w:bottom w:w="15" w:type="dxa"/>
              <w:right w:w="15" w:type="dxa"/>
            </w:tcMar>
            <w:vAlign w:val="center"/>
          </w:tcPr>
          <w:p w:rsidR="00D15BAB" w:rsidRDefault="00AE4A3C">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Mar>
              <w:top w:w="15" w:type="dxa"/>
              <w:left w:w="15" w:type="dxa"/>
              <w:bottom w:w="15" w:type="dxa"/>
              <w:right w:w="15" w:type="dxa"/>
            </w:tcMar>
            <w:vAlign w:val="center"/>
          </w:tcPr>
          <w:p w:rsidR="00D15BAB" w:rsidRDefault="00AE4A3C">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Mar>
              <w:top w:w="15" w:type="dxa"/>
              <w:left w:w="15" w:type="dxa"/>
              <w:bottom w:w="15" w:type="dxa"/>
              <w:right w:w="15" w:type="dxa"/>
            </w:tcMar>
            <w:vAlign w:val="center"/>
          </w:tcPr>
          <w:p w:rsidR="00D15BAB" w:rsidRDefault="00AE4A3C">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D15BAB" w:rsidTr="00381AFF">
        <w:trPr>
          <w:trHeight w:val="1205"/>
          <w:tblCellSpacing w:w="15" w:type="dxa"/>
        </w:trPr>
        <w:tc>
          <w:tcPr>
            <w:tcW w:w="582" w:type="dxa"/>
            <w:vMerge w:val="restart"/>
            <w:tcMar>
              <w:top w:w="15" w:type="dxa"/>
              <w:left w:w="15" w:type="dxa"/>
              <w:bottom w:w="15" w:type="dxa"/>
              <w:right w:w="15" w:type="dxa"/>
            </w:tcMar>
            <w:vAlign w:val="center"/>
          </w:tcPr>
          <w:p w:rsidR="00D15BAB" w:rsidRDefault="00AE4A3C">
            <w:pPr>
              <w:widowControl/>
              <w:jc w:val="center"/>
              <w:rPr>
                <w:rFonts w:ascii="宋体" w:eastAsia="宋体" w:hAnsi="宋体" w:cs="宋体"/>
                <w:bCs/>
                <w:color w:val="363636"/>
                <w:kern w:val="0"/>
                <w:sz w:val="24"/>
                <w:szCs w:val="24"/>
              </w:rPr>
            </w:pPr>
            <w:r>
              <w:rPr>
                <w:rFonts w:hint="eastAsia"/>
                <w:sz w:val="18"/>
                <w:szCs w:val="18"/>
              </w:rPr>
              <w:t>宁洛</w:t>
            </w:r>
          </w:p>
        </w:tc>
        <w:tc>
          <w:tcPr>
            <w:tcW w:w="2029"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四方湖</w:t>
            </w:r>
          </w:p>
        </w:tc>
        <w:tc>
          <w:tcPr>
            <w:tcW w:w="1172"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品牌饼</w:t>
            </w:r>
            <w:r>
              <w:rPr>
                <w:sz w:val="18"/>
                <w:szCs w:val="18"/>
              </w:rPr>
              <w:t>类</w:t>
            </w:r>
          </w:p>
        </w:tc>
        <w:tc>
          <w:tcPr>
            <w:tcW w:w="3660" w:type="dxa"/>
            <w:tcMar>
              <w:top w:w="15" w:type="dxa"/>
              <w:left w:w="15" w:type="dxa"/>
              <w:bottom w:w="15" w:type="dxa"/>
              <w:right w:w="15" w:type="dxa"/>
            </w:tcMar>
            <w:vAlign w:val="center"/>
          </w:tcPr>
          <w:p w:rsidR="00D15BAB" w:rsidRDefault="00AE4A3C">
            <w:pPr>
              <w:widowControl/>
              <w:jc w:val="left"/>
              <w:rPr>
                <w:sz w:val="18"/>
                <w:szCs w:val="18"/>
              </w:rPr>
            </w:pPr>
            <w:r>
              <w:rPr>
                <w:rFonts w:hint="eastAsia"/>
                <w:sz w:val="18"/>
                <w:szCs w:val="18"/>
              </w:rPr>
              <w:t>品牌饼类包含灌饼、烧饼、卷饼、煎饼、锅盔等，自主或加盟品牌，该品牌在商标局注册，连锁店在市区或服务区经营不少于</w:t>
            </w:r>
            <w:r>
              <w:rPr>
                <w:rFonts w:hint="eastAsia"/>
                <w:sz w:val="18"/>
                <w:szCs w:val="18"/>
              </w:rPr>
              <w:t>3</w:t>
            </w:r>
            <w:r>
              <w:rPr>
                <w:rFonts w:hint="eastAsia"/>
                <w:sz w:val="18"/>
                <w:szCs w:val="18"/>
              </w:rPr>
              <w:t>家</w:t>
            </w: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val="restart"/>
            <w:tcMar>
              <w:top w:w="15" w:type="dxa"/>
              <w:left w:w="15" w:type="dxa"/>
              <w:bottom w:w="15" w:type="dxa"/>
              <w:right w:w="15" w:type="dxa"/>
            </w:tcMar>
            <w:vAlign w:val="center"/>
          </w:tcPr>
          <w:p w:rsidR="00D15BAB" w:rsidRDefault="00AE4A3C">
            <w:pPr>
              <w:widowControl/>
              <w:jc w:val="cente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D15BAB" w:rsidTr="00381AFF">
        <w:trPr>
          <w:trHeight w:val="458"/>
          <w:tblCellSpacing w:w="15" w:type="dxa"/>
        </w:trPr>
        <w:tc>
          <w:tcPr>
            <w:tcW w:w="582" w:type="dxa"/>
            <w:vMerge/>
            <w:tcMar>
              <w:top w:w="15" w:type="dxa"/>
              <w:left w:w="15" w:type="dxa"/>
              <w:bottom w:w="15" w:type="dxa"/>
              <w:right w:w="15" w:type="dxa"/>
            </w:tcMar>
            <w:vAlign w:val="center"/>
          </w:tcPr>
          <w:p w:rsidR="00D15BAB" w:rsidRDefault="00D15BAB">
            <w:pPr>
              <w:widowControl/>
              <w:jc w:val="center"/>
              <w:rPr>
                <w:rFonts w:ascii="宋体" w:eastAsia="宋体" w:hAnsi="宋体" w:cs="宋体"/>
                <w:bCs/>
                <w:color w:val="363636"/>
                <w:kern w:val="0"/>
                <w:sz w:val="24"/>
                <w:szCs w:val="24"/>
              </w:rPr>
            </w:pPr>
          </w:p>
        </w:tc>
        <w:tc>
          <w:tcPr>
            <w:tcW w:w="2029"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四方湖</w:t>
            </w:r>
          </w:p>
        </w:tc>
        <w:tc>
          <w:tcPr>
            <w:tcW w:w="1172"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灵璧石</w:t>
            </w:r>
          </w:p>
        </w:tc>
        <w:tc>
          <w:tcPr>
            <w:tcW w:w="3660" w:type="dxa"/>
            <w:tcMar>
              <w:top w:w="15" w:type="dxa"/>
              <w:left w:w="15" w:type="dxa"/>
              <w:bottom w:w="15" w:type="dxa"/>
              <w:right w:w="15" w:type="dxa"/>
            </w:tcMar>
            <w:vAlign w:val="center"/>
          </w:tcPr>
          <w:p w:rsidR="00D15BAB" w:rsidRDefault="00AE4A3C">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widowControl/>
              <w:jc w:val="center"/>
              <w:rPr>
                <w:sz w:val="18"/>
                <w:szCs w:val="18"/>
              </w:rPr>
            </w:pPr>
          </w:p>
        </w:tc>
      </w:tr>
      <w:tr w:rsidR="00D15BAB" w:rsidTr="00381AFF">
        <w:trPr>
          <w:trHeight w:val="495"/>
          <w:tblCellSpacing w:w="15" w:type="dxa"/>
        </w:trPr>
        <w:tc>
          <w:tcPr>
            <w:tcW w:w="582"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宁</w:t>
            </w:r>
            <w:r>
              <w:rPr>
                <w:sz w:val="18"/>
                <w:szCs w:val="18"/>
              </w:rPr>
              <w:t>芜</w:t>
            </w:r>
          </w:p>
        </w:tc>
        <w:tc>
          <w:tcPr>
            <w:tcW w:w="2029"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千军</w:t>
            </w:r>
          </w:p>
        </w:tc>
        <w:tc>
          <w:tcPr>
            <w:tcW w:w="1172"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音像制品</w:t>
            </w:r>
          </w:p>
        </w:tc>
        <w:tc>
          <w:tcPr>
            <w:tcW w:w="3660" w:type="dxa"/>
            <w:tcMar>
              <w:top w:w="15" w:type="dxa"/>
              <w:left w:w="15" w:type="dxa"/>
              <w:bottom w:w="15" w:type="dxa"/>
              <w:right w:w="15" w:type="dxa"/>
            </w:tcMar>
            <w:vAlign w:val="center"/>
          </w:tcPr>
          <w:p w:rsidR="00D15BAB" w:rsidRDefault="00AE4A3C">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widowControl/>
              <w:jc w:val="center"/>
              <w:rPr>
                <w:sz w:val="18"/>
                <w:szCs w:val="18"/>
              </w:rPr>
            </w:pPr>
          </w:p>
        </w:tc>
      </w:tr>
      <w:tr w:rsidR="00D15BAB" w:rsidTr="00381AFF">
        <w:trPr>
          <w:trHeight w:val="756"/>
          <w:tblCellSpacing w:w="15" w:type="dxa"/>
        </w:trPr>
        <w:tc>
          <w:tcPr>
            <w:tcW w:w="582" w:type="dxa"/>
            <w:vMerge w:val="restart"/>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合巢芜</w:t>
            </w:r>
          </w:p>
        </w:tc>
        <w:tc>
          <w:tcPr>
            <w:tcW w:w="2029" w:type="dxa"/>
            <w:tcMar>
              <w:top w:w="15" w:type="dxa"/>
              <w:left w:w="15" w:type="dxa"/>
              <w:bottom w:w="15" w:type="dxa"/>
              <w:right w:w="15" w:type="dxa"/>
            </w:tcMar>
            <w:vAlign w:val="center"/>
          </w:tcPr>
          <w:p w:rsidR="00D15BAB" w:rsidRDefault="00AE4A3C">
            <w:pPr>
              <w:widowControl/>
              <w:jc w:val="center"/>
              <w:rPr>
                <w:sz w:val="18"/>
                <w:szCs w:val="18"/>
              </w:rPr>
            </w:pPr>
            <w:r>
              <w:rPr>
                <w:sz w:val="18"/>
                <w:szCs w:val="18"/>
              </w:rPr>
              <w:t>福山</w:t>
            </w:r>
          </w:p>
        </w:tc>
        <w:tc>
          <w:tcPr>
            <w:tcW w:w="117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品牌豆花</w:t>
            </w:r>
          </w:p>
        </w:tc>
        <w:tc>
          <w:tcPr>
            <w:tcW w:w="3660" w:type="dxa"/>
            <w:tcMar>
              <w:top w:w="15" w:type="dxa"/>
              <w:left w:w="15" w:type="dxa"/>
              <w:bottom w:w="15" w:type="dxa"/>
              <w:right w:w="15" w:type="dxa"/>
            </w:tcMar>
            <w:vAlign w:val="center"/>
          </w:tcPr>
          <w:p w:rsidR="00D15BAB" w:rsidRDefault="00AE4A3C">
            <w:pPr>
              <w:widowControl/>
              <w:jc w:val="left"/>
              <w:rPr>
                <w:sz w:val="18"/>
                <w:szCs w:val="18"/>
              </w:rPr>
            </w:pPr>
            <w:r>
              <w:rPr>
                <w:rFonts w:hint="eastAsia"/>
                <w:sz w:val="18"/>
                <w:szCs w:val="18"/>
              </w:rPr>
              <w:t>须是自有</w:t>
            </w:r>
            <w:r>
              <w:rPr>
                <w:sz w:val="18"/>
                <w:szCs w:val="18"/>
              </w:rPr>
              <w:t>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家，且报名单位至少有</w:t>
            </w:r>
            <w:r>
              <w:rPr>
                <w:rFonts w:hint="eastAsia"/>
                <w:sz w:val="18"/>
                <w:szCs w:val="18"/>
              </w:rPr>
              <w:t>1</w:t>
            </w:r>
            <w:r>
              <w:rPr>
                <w:rFonts w:hint="eastAsia"/>
                <w:sz w:val="18"/>
                <w:szCs w:val="18"/>
              </w:rPr>
              <w:t>家在经营的该品牌实体店。</w:t>
            </w:r>
            <w:r>
              <w:rPr>
                <w:sz w:val="18"/>
                <w:szCs w:val="18"/>
              </w:rPr>
              <w:t xml:space="preserve"> </w:t>
            </w: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widowControl/>
              <w:jc w:val="center"/>
              <w:rPr>
                <w:sz w:val="18"/>
                <w:szCs w:val="18"/>
              </w:rPr>
            </w:pPr>
          </w:p>
        </w:tc>
      </w:tr>
      <w:tr w:rsidR="00D15BAB" w:rsidTr="00381AFF">
        <w:trPr>
          <w:trHeight w:val="780"/>
          <w:tblCellSpacing w:w="15" w:type="dxa"/>
        </w:trPr>
        <w:tc>
          <w:tcPr>
            <w:tcW w:w="582" w:type="dxa"/>
            <w:vMerge/>
            <w:tcMar>
              <w:top w:w="15" w:type="dxa"/>
              <w:left w:w="15" w:type="dxa"/>
              <w:bottom w:w="15" w:type="dxa"/>
              <w:right w:w="15" w:type="dxa"/>
            </w:tcMar>
            <w:vAlign w:val="center"/>
          </w:tcPr>
          <w:p w:rsidR="00D15BAB" w:rsidRDefault="00D15BAB">
            <w:pPr>
              <w:widowControl/>
              <w:jc w:val="center"/>
              <w:rPr>
                <w:sz w:val="18"/>
                <w:szCs w:val="18"/>
              </w:rPr>
            </w:pPr>
          </w:p>
        </w:tc>
        <w:tc>
          <w:tcPr>
            <w:tcW w:w="2029" w:type="dxa"/>
            <w:tcMar>
              <w:top w:w="15" w:type="dxa"/>
              <w:left w:w="15" w:type="dxa"/>
              <w:bottom w:w="15" w:type="dxa"/>
              <w:right w:w="15" w:type="dxa"/>
            </w:tcMar>
            <w:vAlign w:val="center"/>
          </w:tcPr>
          <w:p w:rsidR="00D15BAB" w:rsidRDefault="00AE4A3C">
            <w:pPr>
              <w:widowControl/>
              <w:jc w:val="center"/>
              <w:rPr>
                <w:sz w:val="18"/>
                <w:szCs w:val="18"/>
              </w:rPr>
            </w:pPr>
            <w:r>
              <w:rPr>
                <w:sz w:val="18"/>
                <w:szCs w:val="18"/>
              </w:rPr>
              <w:t>福山</w:t>
            </w:r>
          </w:p>
        </w:tc>
        <w:tc>
          <w:tcPr>
            <w:tcW w:w="117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品牌饮品</w:t>
            </w:r>
          </w:p>
        </w:tc>
        <w:tc>
          <w:tcPr>
            <w:tcW w:w="3660" w:type="dxa"/>
            <w:tcMar>
              <w:top w:w="15" w:type="dxa"/>
              <w:left w:w="15" w:type="dxa"/>
              <w:bottom w:w="15" w:type="dxa"/>
              <w:right w:w="15" w:type="dxa"/>
            </w:tcMar>
            <w:vAlign w:val="center"/>
          </w:tcPr>
          <w:p w:rsidR="00D15BAB" w:rsidRDefault="00AE4A3C">
            <w:pPr>
              <w:widowControl/>
              <w:jc w:val="left"/>
              <w:rPr>
                <w:sz w:val="18"/>
                <w:szCs w:val="18"/>
              </w:rPr>
            </w:pPr>
            <w:r>
              <w:rPr>
                <w:rFonts w:hint="eastAsia"/>
                <w:sz w:val="18"/>
                <w:szCs w:val="18"/>
              </w:rPr>
              <w:t>须是自有</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家，且报名单位至少有</w:t>
            </w:r>
            <w:r>
              <w:rPr>
                <w:rFonts w:hint="eastAsia"/>
                <w:sz w:val="18"/>
                <w:szCs w:val="18"/>
              </w:rPr>
              <w:t>1</w:t>
            </w:r>
            <w:r>
              <w:rPr>
                <w:rFonts w:hint="eastAsia"/>
                <w:sz w:val="18"/>
                <w:szCs w:val="18"/>
              </w:rPr>
              <w:t>家在经营的该品牌实体店。</w:t>
            </w:r>
            <w:r>
              <w:rPr>
                <w:sz w:val="18"/>
                <w:szCs w:val="18"/>
              </w:rPr>
              <w:t xml:space="preserve"> </w:t>
            </w: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widowControl/>
              <w:jc w:val="center"/>
              <w:rPr>
                <w:sz w:val="18"/>
                <w:szCs w:val="18"/>
              </w:rPr>
            </w:pPr>
          </w:p>
        </w:tc>
      </w:tr>
      <w:tr w:rsidR="00D15BAB" w:rsidTr="00381AFF">
        <w:trPr>
          <w:trHeight w:val="1253"/>
          <w:tblCellSpacing w:w="15" w:type="dxa"/>
        </w:trPr>
        <w:tc>
          <w:tcPr>
            <w:tcW w:w="582" w:type="dxa"/>
            <w:tcMar>
              <w:top w:w="15" w:type="dxa"/>
              <w:left w:w="15" w:type="dxa"/>
              <w:bottom w:w="15" w:type="dxa"/>
              <w:right w:w="15" w:type="dxa"/>
            </w:tcMar>
            <w:vAlign w:val="center"/>
          </w:tcPr>
          <w:p w:rsidR="00D15BAB" w:rsidRDefault="00D15BAB">
            <w:pPr>
              <w:widowControl/>
              <w:jc w:val="left"/>
              <w:rPr>
                <w:sz w:val="18"/>
                <w:szCs w:val="18"/>
              </w:rPr>
            </w:pPr>
          </w:p>
        </w:tc>
        <w:tc>
          <w:tcPr>
            <w:tcW w:w="2029"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11</w:t>
            </w:r>
            <w:r>
              <w:rPr>
                <w:rFonts w:hint="eastAsia"/>
                <w:sz w:val="18"/>
                <w:szCs w:val="18"/>
              </w:rPr>
              <w:t>对服务区</w:t>
            </w:r>
          </w:p>
        </w:tc>
        <w:tc>
          <w:tcPr>
            <w:tcW w:w="1172" w:type="dxa"/>
            <w:tcMar>
              <w:top w:w="15" w:type="dxa"/>
              <w:left w:w="15" w:type="dxa"/>
              <w:bottom w:w="15" w:type="dxa"/>
              <w:right w:w="15" w:type="dxa"/>
            </w:tcMar>
            <w:vAlign w:val="center"/>
          </w:tcPr>
          <w:p w:rsidR="00D15BAB" w:rsidRDefault="00AE4A3C">
            <w:pPr>
              <w:widowControl/>
              <w:jc w:val="center"/>
              <w:rPr>
                <w:sz w:val="18"/>
                <w:szCs w:val="18"/>
              </w:rPr>
            </w:pPr>
            <w:r>
              <w:rPr>
                <w:sz w:val="18"/>
                <w:szCs w:val="18"/>
              </w:rPr>
              <w:t>按摩椅</w:t>
            </w:r>
          </w:p>
        </w:tc>
        <w:tc>
          <w:tcPr>
            <w:tcW w:w="3660" w:type="dxa"/>
            <w:tcMar>
              <w:top w:w="15" w:type="dxa"/>
              <w:left w:w="15" w:type="dxa"/>
              <w:bottom w:w="15" w:type="dxa"/>
              <w:right w:w="15" w:type="dxa"/>
            </w:tcMar>
            <w:vAlign w:val="center"/>
          </w:tcPr>
          <w:p w:rsidR="00D15BAB" w:rsidRDefault="00AE4A3C">
            <w:pPr>
              <w:widowControl/>
              <w:jc w:val="left"/>
              <w:rPr>
                <w:sz w:val="18"/>
                <w:szCs w:val="18"/>
              </w:rPr>
            </w:pPr>
            <w:r>
              <w:rPr>
                <w:rFonts w:hint="eastAsia"/>
                <w:sz w:val="18"/>
                <w:szCs w:val="18"/>
              </w:rPr>
              <w:t>香铺、九华山、呈坎、吴圩、符离、皇藏峪、四方湖、长春、天门、牛头山、颍上</w:t>
            </w:r>
            <w:r>
              <w:rPr>
                <w:rFonts w:hint="eastAsia"/>
                <w:sz w:val="18"/>
                <w:szCs w:val="18"/>
              </w:rPr>
              <w:t>11</w:t>
            </w:r>
            <w:r>
              <w:rPr>
                <w:rFonts w:hint="eastAsia"/>
                <w:sz w:val="18"/>
                <w:szCs w:val="18"/>
              </w:rPr>
              <w:t>对服务区。须是自主品牌或者加盟品牌，提供效果图、施工方案，经营场所由承租方自行投资施工装修。</w:t>
            </w:r>
            <w:r>
              <w:rPr>
                <w:sz w:val="18"/>
                <w:szCs w:val="18"/>
              </w:rPr>
              <w:t>如遇</w:t>
            </w:r>
            <w:r>
              <w:rPr>
                <w:rFonts w:hint="eastAsia"/>
                <w:sz w:val="18"/>
                <w:szCs w:val="18"/>
              </w:rPr>
              <w:t>服务区</w:t>
            </w:r>
            <w:r>
              <w:rPr>
                <w:sz w:val="18"/>
                <w:szCs w:val="18"/>
              </w:rPr>
              <w:t>改造，</w:t>
            </w:r>
            <w:r>
              <w:rPr>
                <w:rFonts w:hint="eastAsia"/>
                <w:sz w:val="18"/>
                <w:szCs w:val="18"/>
              </w:rPr>
              <w:t>则服务区</w:t>
            </w:r>
            <w:r>
              <w:rPr>
                <w:sz w:val="18"/>
                <w:szCs w:val="18"/>
              </w:rPr>
              <w:t>该项目自动终止</w:t>
            </w:r>
            <w:r>
              <w:rPr>
                <w:rFonts w:hint="eastAsia"/>
                <w:sz w:val="18"/>
                <w:szCs w:val="18"/>
              </w:rPr>
              <w:t>，</w:t>
            </w:r>
            <w:r>
              <w:rPr>
                <w:sz w:val="18"/>
                <w:szCs w:val="18"/>
              </w:rPr>
              <w:t>从项目合同中剔除</w:t>
            </w:r>
            <w:r>
              <w:rPr>
                <w:rFonts w:hint="eastAsia"/>
                <w:sz w:val="18"/>
                <w:szCs w:val="18"/>
              </w:rPr>
              <w:t>，</w:t>
            </w:r>
            <w:r>
              <w:rPr>
                <w:sz w:val="18"/>
                <w:szCs w:val="18"/>
              </w:rPr>
              <w:t>租金标准按服务区数量</w:t>
            </w:r>
            <w:r>
              <w:rPr>
                <w:rFonts w:hint="eastAsia"/>
                <w:sz w:val="18"/>
                <w:szCs w:val="18"/>
              </w:rPr>
              <w:t>等比例</w:t>
            </w:r>
            <w:r>
              <w:rPr>
                <w:sz w:val="18"/>
                <w:szCs w:val="18"/>
              </w:rPr>
              <w:t>调整</w:t>
            </w:r>
            <w:r>
              <w:rPr>
                <w:rFonts w:hint="eastAsia"/>
                <w:sz w:val="18"/>
                <w:szCs w:val="18"/>
              </w:rPr>
              <w:t>。</w:t>
            </w: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widowControl/>
              <w:jc w:val="center"/>
              <w:rPr>
                <w:sz w:val="18"/>
                <w:szCs w:val="18"/>
              </w:rPr>
            </w:pPr>
          </w:p>
        </w:tc>
      </w:tr>
      <w:tr w:rsidR="00D15BAB" w:rsidTr="00381AFF">
        <w:trPr>
          <w:trHeight w:val="780"/>
          <w:tblCellSpacing w:w="15" w:type="dxa"/>
        </w:trPr>
        <w:tc>
          <w:tcPr>
            <w:tcW w:w="582" w:type="dxa"/>
            <w:tcMar>
              <w:top w:w="15" w:type="dxa"/>
              <w:left w:w="15" w:type="dxa"/>
              <w:bottom w:w="15" w:type="dxa"/>
              <w:right w:w="15" w:type="dxa"/>
            </w:tcMar>
            <w:vAlign w:val="center"/>
          </w:tcPr>
          <w:p w:rsidR="00D15BAB" w:rsidRDefault="00797715" w:rsidP="00797715">
            <w:pPr>
              <w:widowControl/>
              <w:jc w:val="left"/>
              <w:rPr>
                <w:rFonts w:hint="eastAsia"/>
                <w:sz w:val="18"/>
                <w:szCs w:val="18"/>
              </w:rPr>
            </w:pPr>
            <w:r>
              <w:rPr>
                <w:rFonts w:hint="eastAsia"/>
                <w:sz w:val="18"/>
                <w:szCs w:val="18"/>
              </w:rPr>
              <w:t>高</w:t>
            </w:r>
            <w:r>
              <w:rPr>
                <w:sz w:val="18"/>
                <w:szCs w:val="18"/>
              </w:rPr>
              <w:t>界</w:t>
            </w:r>
          </w:p>
        </w:tc>
        <w:tc>
          <w:tcPr>
            <w:tcW w:w="2029"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太湖</w:t>
            </w:r>
          </w:p>
        </w:tc>
        <w:tc>
          <w:tcPr>
            <w:tcW w:w="117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竹木藤制品</w:t>
            </w:r>
          </w:p>
        </w:tc>
        <w:tc>
          <w:tcPr>
            <w:tcW w:w="3660" w:type="dxa"/>
            <w:tcMar>
              <w:top w:w="15" w:type="dxa"/>
              <w:left w:w="15" w:type="dxa"/>
              <w:bottom w:w="15" w:type="dxa"/>
              <w:right w:w="15" w:type="dxa"/>
            </w:tcMar>
            <w:vAlign w:val="center"/>
          </w:tcPr>
          <w:p w:rsidR="00D15BAB" w:rsidRDefault="00AE4A3C">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widowControl/>
              <w:rPr>
                <w:sz w:val="18"/>
                <w:szCs w:val="18"/>
              </w:rPr>
            </w:pPr>
          </w:p>
        </w:tc>
      </w:tr>
      <w:tr w:rsidR="00D15BAB" w:rsidTr="00381AFF">
        <w:trPr>
          <w:trHeight w:val="948"/>
          <w:tblCellSpacing w:w="15" w:type="dxa"/>
        </w:trPr>
        <w:tc>
          <w:tcPr>
            <w:tcW w:w="582" w:type="dxa"/>
            <w:tcMar>
              <w:top w:w="15" w:type="dxa"/>
              <w:left w:w="15" w:type="dxa"/>
              <w:bottom w:w="15" w:type="dxa"/>
              <w:right w:w="15" w:type="dxa"/>
            </w:tcMar>
            <w:vAlign w:val="center"/>
          </w:tcPr>
          <w:p w:rsidR="00D15BAB" w:rsidRDefault="00797715">
            <w:pPr>
              <w:jc w:val="center"/>
              <w:rPr>
                <w:rFonts w:hint="eastAsia"/>
                <w:sz w:val="18"/>
                <w:szCs w:val="18"/>
              </w:rPr>
            </w:pPr>
            <w:r>
              <w:rPr>
                <w:rFonts w:hint="eastAsia"/>
                <w:sz w:val="18"/>
                <w:szCs w:val="18"/>
              </w:rPr>
              <w:t>六潜</w:t>
            </w:r>
          </w:p>
        </w:tc>
        <w:tc>
          <w:tcPr>
            <w:tcW w:w="2029"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霍山</w:t>
            </w:r>
          </w:p>
        </w:tc>
        <w:tc>
          <w:tcPr>
            <w:tcW w:w="117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品牌小吃（含粽子水果）</w:t>
            </w:r>
          </w:p>
        </w:tc>
        <w:tc>
          <w:tcPr>
            <w:tcW w:w="3660" w:type="dxa"/>
            <w:tcMar>
              <w:top w:w="15" w:type="dxa"/>
              <w:left w:w="15" w:type="dxa"/>
              <w:bottom w:w="15" w:type="dxa"/>
              <w:right w:w="15" w:type="dxa"/>
            </w:tcMar>
            <w:vAlign w:val="center"/>
          </w:tcPr>
          <w:p w:rsidR="00D15BAB" w:rsidRDefault="00AE4A3C">
            <w:pPr>
              <w:jc w:val="left"/>
              <w:rPr>
                <w:sz w:val="18"/>
                <w:szCs w:val="18"/>
              </w:rPr>
            </w:pPr>
            <w:r w:rsidRPr="006D2AE0">
              <w:rPr>
                <w:rFonts w:ascii="Times New Roman" w:eastAsia="宋体" w:hAnsi="Times New Roman" w:cs="Times New Roman" w:hint="eastAsia"/>
                <w:color w:val="000000" w:themeColor="text1"/>
                <w:sz w:val="18"/>
                <w:szCs w:val="18"/>
                <w:lang w:bidi="ar"/>
              </w:rPr>
              <w:t>日常经营品项为粽子、水果、鸡蛋、玉米、烤肠、手抓饼、关东煮、爆米花、酱鸭腿、包子、肉夹馍、八宝粥、五香豆干，另合作单位可申请增加</w:t>
            </w:r>
            <w:r w:rsidRPr="006D2AE0">
              <w:rPr>
                <w:rFonts w:ascii="Times New Roman" w:eastAsia="宋体" w:hAnsi="Times New Roman" w:cs="Times New Roman"/>
                <w:color w:val="000000" w:themeColor="text1"/>
                <w:sz w:val="18"/>
                <w:szCs w:val="18"/>
                <w:lang w:bidi="ar"/>
              </w:rPr>
              <w:t>3-5</w:t>
            </w:r>
            <w:r w:rsidRPr="006D2AE0">
              <w:rPr>
                <w:rFonts w:ascii="Times New Roman" w:eastAsia="宋体" w:hAnsi="Times New Roman" w:cs="Times New Roman" w:hint="eastAsia"/>
                <w:color w:val="000000" w:themeColor="text1"/>
                <w:sz w:val="18"/>
                <w:szCs w:val="18"/>
                <w:lang w:bidi="ar"/>
              </w:rPr>
              <w:t>个其他品项，增加的品项不含米饭、面条类食品，不得与餐厅、便利店及服务区已有项目相冲突。须是自主品牌或加盟品牌，该品牌在商标局注册，连锁店在市区或服务区经营不少于</w:t>
            </w:r>
            <w:r w:rsidRPr="006D2AE0">
              <w:rPr>
                <w:rFonts w:ascii="Times New Roman" w:eastAsia="宋体" w:hAnsi="Times New Roman" w:cs="Times New Roman"/>
                <w:color w:val="000000" w:themeColor="text1"/>
                <w:sz w:val="18"/>
                <w:szCs w:val="18"/>
                <w:lang w:bidi="ar"/>
              </w:rPr>
              <w:t>3</w:t>
            </w:r>
            <w:r w:rsidRPr="006D2AE0">
              <w:rPr>
                <w:rFonts w:ascii="Times New Roman" w:eastAsia="宋体" w:hAnsi="Times New Roman" w:cs="Times New Roman" w:hint="eastAsia"/>
                <w:color w:val="000000" w:themeColor="text1"/>
                <w:sz w:val="18"/>
                <w:szCs w:val="18"/>
                <w:lang w:bidi="ar"/>
              </w:rPr>
              <w:t>家，且报名单位至少有</w:t>
            </w:r>
            <w:r w:rsidRPr="006D2AE0">
              <w:rPr>
                <w:rFonts w:ascii="Times New Roman" w:eastAsia="宋体" w:hAnsi="Times New Roman" w:cs="Times New Roman"/>
                <w:color w:val="000000" w:themeColor="text1"/>
                <w:sz w:val="18"/>
                <w:szCs w:val="18"/>
                <w:lang w:bidi="ar"/>
              </w:rPr>
              <w:t>1</w:t>
            </w:r>
            <w:r w:rsidRPr="006D2AE0">
              <w:rPr>
                <w:rFonts w:ascii="Times New Roman" w:eastAsia="宋体" w:hAnsi="Times New Roman" w:cs="Times New Roman" w:hint="eastAsia"/>
                <w:color w:val="000000" w:themeColor="text1"/>
                <w:sz w:val="18"/>
                <w:szCs w:val="18"/>
                <w:lang w:bidi="ar"/>
              </w:rPr>
              <w:t>家在经营的该品牌实体店。</w:t>
            </w:r>
          </w:p>
        </w:tc>
        <w:tc>
          <w:tcPr>
            <w:tcW w:w="1187"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jc w:val="center"/>
              <w:rPr>
                <w:sz w:val="18"/>
                <w:szCs w:val="18"/>
              </w:rPr>
            </w:pPr>
          </w:p>
        </w:tc>
      </w:tr>
      <w:tr w:rsidR="00D15BAB" w:rsidTr="00381AFF">
        <w:trPr>
          <w:trHeight w:val="948"/>
          <w:tblCellSpacing w:w="15" w:type="dxa"/>
        </w:trPr>
        <w:tc>
          <w:tcPr>
            <w:tcW w:w="582" w:type="dxa"/>
            <w:tcMar>
              <w:top w:w="15" w:type="dxa"/>
              <w:left w:w="15" w:type="dxa"/>
              <w:bottom w:w="15" w:type="dxa"/>
              <w:right w:w="15" w:type="dxa"/>
            </w:tcMar>
            <w:vAlign w:val="center"/>
          </w:tcPr>
          <w:p w:rsidR="00D15BAB" w:rsidRDefault="00797715">
            <w:pPr>
              <w:jc w:val="center"/>
              <w:rPr>
                <w:sz w:val="18"/>
                <w:szCs w:val="18"/>
              </w:rPr>
            </w:pPr>
            <w:r>
              <w:rPr>
                <w:rFonts w:hint="eastAsia"/>
                <w:sz w:val="18"/>
                <w:szCs w:val="18"/>
              </w:rPr>
              <w:lastRenderedPageBreak/>
              <w:t>济广</w:t>
            </w:r>
          </w:p>
        </w:tc>
        <w:tc>
          <w:tcPr>
            <w:tcW w:w="2029" w:type="dxa"/>
            <w:tcMar>
              <w:top w:w="15" w:type="dxa"/>
              <w:left w:w="15" w:type="dxa"/>
              <w:bottom w:w="15" w:type="dxa"/>
              <w:right w:w="15" w:type="dxa"/>
            </w:tcMar>
            <w:vAlign w:val="center"/>
          </w:tcPr>
          <w:p w:rsidR="00D15BAB" w:rsidRDefault="00AE4A3C">
            <w:pPr>
              <w:jc w:val="center"/>
              <w:rPr>
                <w:sz w:val="18"/>
                <w:szCs w:val="18"/>
              </w:rPr>
            </w:pPr>
            <w:r>
              <w:rPr>
                <w:sz w:val="18"/>
                <w:szCs w:val="18"/>
              </w:rPr>
              <w:t>花园</w:t>
            </w:r>
          </w:p>
        </w:tc>
        <w:tc>
          <w:tcPr>
            <w:tcW w:w="117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水果吧</w:t>
            </w:r>
          </w:p>
        </w:tc>
        <w:tc>
          <w:tcPr>
            <w:tcW w:w="3660"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销售</w:t>
            </w:r>
            <w:r>
              <w:rPr>
                <w:sz w:val="18"/>
                <w:szCs w:val="18"/>
              </w:rPr>
              <w:t>新鲜水果及鲜榨果汁。</w:t>
            </w:r>
            <w:r>
              <w:rPr>
                <w:rFonts w:hint="eastAsia"/>
                <w:sz w:val="18"/>
                <w:szCs w:val="18"/>
              </w:rPr>
              <w:t>须是自主品牌或加盟品牌，该品牌在商标局注册。</w:t>
            </w:r>
          </w:p>
        </w:tc>
        <w:tc>
          <w:tcPr>
            <w:tcW w:w="1187"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3</w:t>
            </w:r>
          </w:p>
        </w:tc>
        <w:tc>
          <w:tcPr>
            <w:tcW w:w="1150" w:type="dxa"/>
            <w:vMerge w:val="restart"/>
            <w:tcMar>
              <w:top w:w="15" w:type="dxa"/>
              <w:left w:w="15" w:type="dxa"/>
              <w:bottom w:w="15" w:type="dxa"/>
              <w:right w:w="15" w:type="dxa"/>
            </w:tcMar>
            <w:vAlign w:val="center"/>
          </w:tcPr>
          <w:p w:rsidR="00D15BAB" w:rsidRDefault="00AE4A3C">
            <w:pPr>
              <w:jc w:val="cente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D15BAB" w:rsidTr="00381AFF">
        <w:trPr>
          <w:trHeight w:val="960"/>
          <w:tblCellSpacing w:w="15" w:type="dxa"/>
        </w:trPr>
        <w:tc>
          <w:tcPr>
            <w:tcW w:w="582" w:type="dxa"/>
            <w:tcMar>
              <w:top w:w="15" w:type="dxa"/>
              <w:left w:w="15" w:type="dxa"/>
              <w:bottom w:w="15" w:type="dxa"/>
              <w:right w:w="15" w:type="dxa"/>
            </w:tcMar>
            <w:vAlign w:val="center"/>
          </w:tcPr>
          <w:p w:rsidR="00D15BAB" w:rsidRDefault="00797715">
            <w:pPr>
              <w:jc w:val="center"/>
              <w:rPr>
                <w:rFonts w:hint="eastAsia"/>
                <w:sz w:val="18"/>
                <w:szCs w:val="18"/>
              </w:rPr>
            </w:pPr>
            <w:r>
              <w:rPr>
                <w:rFonts w:hint="eastAsia"/>
                <w:sz w:val="18"/>
                <w:szCs w:val="18"/>
              </w:rPr>
              <w:t>合</w:t>
            </w:r>
            <w:r>
              <w:rPr>
                <w:sz w:val="18"/>
                <w:szCs w:val="18"/>
              </w:rPr>
              <w:t>安</w:t>
            </w:r>
          </w:p>
        </w:tc>
        <w:tc>
          <w:tcPr>
            <w:tcW w:w="2029" w:type="dxa"/>
            <w:tcMar>
              <w:top w:w="15" w:type="dxa"/>
              <w:left w:w="15" w:type="dxa"/>
              <w:bottom w:w="15" w:type="dxa"/>
              <w:right w:w="15" w:type="dxa"/>
            </w:tcMar>
            <w:vAlign w:val="center"/>
          </w:tcPr>
          <w:p w:rsidR="00D15BAB" w:rsidRDefault="00AE4A3C">
            <w:pPr>
              <w:jc w:val="center"/>
              <w:rPr>
                <w:sz w:val="18"/>
                <w:szCs w:val="18"/>
              </w:rPr>
            </w:pPr>
            <w:r>
              <w:rPr>
                <w:sz w:val="18"/>
                <w:szCs w:val="18"/>
              </w:rPr>
              <w:t>香铺</w:t>
            </w:r>
          </w:p>
        </w:tc>
        <w:tc>
          <w:tcPr>
            <w:tcW w:w="117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地方品牌糕点</w:t>
            </w:r>
          </w:p>
        </w:tc>
        <w:tc>
          <w:tcPr>
            <w:tcW w:w="3660" w:type="dxa"/>
            <w:tcMar>
              <w:top w:w="15" w:type="dxa"/>
              <w:left w:w="15" w:type="dxa"/>
              <w:bottom w:w="15" w:type="dxa"/>
              <w:right w:w="15" w:type="dxa"/>
            </w:tcMar>
            <w:vAlign w:val="center"/>
          </w:tcPr>
          <w:p w:rsidR="00D15BAB" w:rsidRDefault="000C227D" w:rsidP="00AE4A3C">
            <w:pPr>
              <w:jc w:val="center"/>
              <w:rPr>
                <w:sz w:val="18"/>
                <w:szCs w:val="18"/>
              </w:rPr>
            </w:pPr>
            <w:r>
              <w:rPr>
                <w:rFonts w:hint="eastAsia"/>
                <w:sz w:val="18"/>
                <w:szCs w:val="18"/>
              </w:rPr>
              <w:t>糕点类产品自主或加盟品牌，且该品牌须为服务区所在县市地方品牌，该品牌在商标局注册，连锁店在市区或服务区经营不少于</w:t>
            </w:r>
            <w:r>
              <w:rPr>
                <w:rFonts w:cs="Calibri" w:hint="eastAsia"/>
                <w:sz w:val="18"/>
                <w:szCs w:val="18"/>
              </w:rPr>
              <w:t>3</w:t>
            </w:r>
            <w:r>
              <w:rPr>
                <w:rFonts w:ascii="宋体" w:hAnsi="宋体" w:hint="eastAsia"/>
                <w:sz w:val="18"/>
                <w:szCs w:val="18"/>
              </w:rPr>
              <w:t>家。</w:t>
            </w:r>
          </w:p>
        </w:tc>
        <w:tc>
          <w:tcPr>
            <w:tcW w:w="1187"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jc w:val="center"/>
              <w:rPr>
                <w:sz w:val="18"/>
                <w:szCs w:val="18"/>
              </w:rPr>
            </w:pPr>
          </w:p>
        </w:tc>
      </w:tr>
      <w:tr w:rsidR="00D15BAB" w:rsidTr="00381AFF">
        <w:trPr>
          <w:trHeight w:val="960"/>
          <w:tblCellSpacing w:w="15" w:type="dxa"/>
        </w:trPr>
        <w:tc>
          <w:tcPr>
            <w:tcW w:w="58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京台</w:t>
            </w:r>
            <w:bookmarkStart w:id="0" w:name="_GoBack"/>
            <w:bookmarkEnd w:id="0"/>
          </w:p>
        </w:tc>
        <w:tc>
          <w:tcPr>
            <w:tcW w:w="2029"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符离</w:t>
            </w:r>
          </w:p>
        </w:tc>
        <w:tc>
          <w:tcPr>
            <w:tcW w:w="1172"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品牌小吃（含粽子）</w:t>
            </w:r>
          </w:p>
        </w:tc>
        <w:tc>
          <w:tcPr>
            <w:tcW w:w="3660" w:type="dxa"/>
            <w:tcMar>
              <w:top w:w="15" w:type="dxa"/>
              <w:left w:w="15" w:type="dxa"/>
              <w:bottom w:w="15" w:type="dxa"/>
              <w:right w:w="15" w:type="dxa"/>
            </w:tcMar>
            <w:vAlign w:val="center"/>
          </w:tcPr>
          <w:p w:rsidR="00D15BAB" w:rsidRDefault="00AE4A3C">
            <w:pPr>
              <w:jc w:val="center"/>
              <w:rPr>
                <w:sz w:val="18"/>
                <w:szCs w:val="18"/>
              </w:rPr>
            </w:pPr>
            <w:r w:rsidRPr="0003332C">
              <w:rPr>
                <w:rFonts w:ascii="Times New Roman" w:eastAsia="宋体" w:hAnsi="Times New Roman" w:cs="Times New Roman" w:hint="eastAsia"/>
                <w:color w:val="000000" w:themeColor="text1"/>
                <w:sz w:val="18"/>
                <w:szCs w:val="18"/>
                <w:lang w:bidi="ar"/>
              </w:rPr>
              <w:t>日常经营品项为粽子、鸡蛋、玉米、烤肠、手抓饼、关东煮、爆米花、酱鸭腿、包子、肉夹馍、八宝粥、五香豆干，另合作单位可申请增加</w:t>
            </w:r>
            <w:r w:rsidRPr="0003332C">
              <w:rPr>
                <w:rFonts w:ascii="Times New Roman" w:eastAsia="宋体" w:hAnsi="Times New Roman" w:cs="Times New Roman" w:hint="eastAsia"/>
                <w:color w:val="000000" w:themeColor="text1"/>
                <w:sz w:val="18"/>
                <w:szCs w:val="18"/>
                <w:lang w:bidi="ar"/>
              </w:rPr>
              <w:t>3-5</w:t>
            </w:r>
            <w:r w:rsidRPr="0003332C">
              <w:rPr>
                <w:rFonts w:ascii="Times New Roman" w:eastAsia="宋体" w:hAnsi="Times New Roman" w:cs="Times New Roman" w:hint="eastAsia"/>
                <w:color w:val="000000" w:themeColor="text1"/>
                <w:sz w:val="18"/>
                <w:szCs w:val="18"/>
                <w:lang w:bidi="ar"/>
              </w:rPr>
              <w:t>个其他品项，增加的品项不含米饭、面条类食品，不得与餐厅、便利店及服务区已有项目相冲突。须是自主品牌或加盟品牌，该品牌在商标局注册，连锁店在市区或服务区经营不少于</w:t>
            </w:r>
            <w:r w:rsidRPr="0003332C">
              <w:rPr>
                <w:rFonts w:ascii="Times New Roman" w:eastAsia="宋体" w:hAnsi="Times New Roman" w:cs="Times New Roman" w:hint="eastAsia"/>
                <w:color w:val="000000" w:themeColor="text1"/>
                <w:sz w:val="18"/>
                <w:szCs w:val="18"/>
                <w:lang w:bidi="ar"/>
              </w:rPr>
              <w:t>3</w:t>
            </w:r>
            <w:r w:rsidRPr="0003332C">
              <w:rPr>
                <w:rFonts w:ascii="Times New Roman" w:eastAsia="宋体" w:hAnsi="Times New Roman" w:cs="Times New Roman" w:hint="eastAsia"/>
                <w:color w:val="000000" w:themeColor="text1"/>
                <w:sz w:val="18"/>
                <w:szCs w:val="18"/>
                <w:lang w:bidi="ar"/>
              </w:rPr>
              <w:t>家，且报名单位至少有</w:t>
            </w:r>
            <w:r w:rsidRPr="0003332C">
              <w:rPr>
                <w:rFonts w:ascii="Times New Roman" w:eastAsia="宋体" w:hAnsi="Times New Roman" w:cs="Times New Roman" w:hint="eastAsia"/>
                <w:color w:val="000000" w:themeColor="text1"/>
                <w:sz w:val="18"/>
                <w:szCs w:val="18"/>
                <w:lang w:bidi="ar"/>
              </w:rPr>
              <w:t>1</w:t>
            </w:r>
            <w:r w:rsidRPr="0003332C">
              <w:rPr>
                <w:rFonts w:ascii="Times New Roman" w:eastAsia="宋体" w:hAnsi="Times New Roman" w:cs="Times New Roman" w:hint="eastAsia"/>
                <w:color w:val="000000" w:themeColor="text1"/>
                <w:sz w:val="18"/>
                <w:szCs w:val="18"/>
                <w:lang w:bidi="ar"/>
              </w:rPr>
              <w:t>家在经营的该品牌实体店。</w:t>
            </w:r>
          </w:p>
        </w:tc>
        <w:tc>
          <w:tcPr>
            <w:tcW w:w="1187" w:type="dxa"/>
            <w:tcMar>
              <w:top w:w="15" w:type="dxa"/>
              <w:left w:w="15" w:type="dxa"/>
              <w:bottom w:w="15" w:type="dxa"/>
              <w:right w:w="15" w:type="dxa"/>
            </w:tcMar>
            <w:vAlign w:val="center"/>
          </w:tcPr>
          <w:p w:rsidR="00D15BAB" w:rsidRDefault="00AE4A3C">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jc w:val="center"/>
              <w:rPr>
                <w:sz w:val="18"/>
                <w:szCs w:val="18"/>
              </w:rPr>
            </w:pPr>
          </w:p>
        </w:tc>
      </w:tr>
      <w:tr w:rsidR="00D15BAB" w:rsidTr="00381AFF">
        <w:trPr>
          <w:trHeight w:val="7251"/>
          <w:tblCellSpacing w:w="15" w:type="dxa"/>
        </w:trPr>
        <w:tc>
          <w:tcPr>
            <w:tcW w:w="582" w:type="dxa"/>
            <w:tcMar>
              <w:top w:w="15" w:type="dxa"/>
              <w:left w:w="15" w:type="dxa"/>
              <w:bottom w:w="15" w:type="dxa"/>
              <w:right w:w="15" w:type="dxa"/>
            </w:tcMar>
            <w:vAlign w:val="center"/>
          </w:tcPr>
          <w:p w:rsidR="00D15BAB" w:rsidRDefault="00D15BAB">
            <w:pPr>
              <w:widowControl/>
              <w:jc w:val="center"/>
              <w:rPr>
                <w:sz w:val="18"/>
                <w:szCs w:val="18"/>
              </w:rPr>
            </w:pPr>
          </w:p>
        </w:tc>
        <w:tc>
          <w:tcPr>
            <w:tcW w:w="2029"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99</w:t>
            </w:r>
            <w:r>
              <w:rPr>
                <w:rFonts w:hint="eastAsia"/>
                <w:sz w:val="18"/>
                <w:szCs w:val="18"/>
              </w:rPr>
              <w:t>对服务区</w:t>
            </w:r>
          </w:p>
        </w:tc>
        <w:tc>
          <w:tcPr>
            <w:tcW w:w="1172" w:type="dxa"/>
            <w:tcMar>
              <w:top w:w="15" w:type="dxa"/>
              <w:left w:w="15" w:type="dxa"/>
              <w:bottom w:w="15" w:type="dxa"/>
              <w:right w:w="15" w:type="dxa"/>
            </w:tcMar>
            <w:vAlign w:val="center"/>
          </w:tcPr>
          <w:p w:rsidR="00D15BAB" w:rsidRDefault="00AE4A3C">
            <w:pPr>
              <w:widowControl/>
              <w:jc w:val="center"/>
              <w:rPr>
                <w:sz w:val="18"/>
                <w:szCs w:val="18"/>
              </w:rPr>
            </w:pPr>
            <w:r>
              <w:rPr>
                <w:sz w:val="18"/>
                <w:szCs w:val="18"/>
              </w:rPr>
              <w:t>充电宝</w:t>
            </w:r>
          </w:p>
        </w:tc>
        <w:tc>
          <w:tcPr>
            <w:tcW w:w="3660" w:type="dxa"/>
            <w:tcMar>
              <w:top w:w="15" w:type="dxa"/>
              <w:left w:w="15" w:type="dxa"/>
              <w:bottom w:w="15" w:type="dxa"/>
              <w:right w:w="15" w:type="dxa"/>
            </w:tcMar>
            <w:vAlign w:val="center"/>
          </w:tcPr>
          <w:p w:rsidR="00D15BAB" w:rsidRDefault="00AE4A3C">
            <w:r>
              <w:rPr>
                <w:rFonts w:hint="eastAsia"/>
                <w:sz w:val="18"/>
                <w:szCs w:val="18"/>
              </w:rPr>
              <w:t>（</w:t>
            </w:r>
            <w:r>
              <w:rPr>
                <w:rFonts w:hint="eastAsia"/>
                <w:sz w:val="18"/>
                <w:szCs w:val="18"/>
              </w:rPr>
              <w:t>99</w:t>
            </w:r>
            <w:r>
              <w:rPr>
                <w:rFonts w:hint="eastAsia"/>
                <w:sz w:val="18"/>
                <w:szCs w:val="18"/>
              </w:rPr>
              <w:t>对服务区为新桥、肥东、龙门寺、丰乐、香铺、公岭、王河、潜山（单边）、天柱山（单边）、岳西、白帽、太湖、雷埠、大龙山、望江、陈埠、河口、西桥、罗集、徐集、梅山、天堂寨、长岭关、霍山、茶庵、芍陂、临泉、阜南、红星、颍上、焦岗湖、八公山、官塘、凤台、吴圩、杜集、谯城、辛集、马集、四方湖、吕望、三角元、长春、伍明、蒙城、石弓、砀山、王寨、皇藏峪、符离、宿州、濉溪、虞姬、石龙湖、桥头、蟠龙山、君王、冯庙、宁国、金沙、华阳、太平湖、呈坎、牯牛降、齐云山、休宁、沙溪、周潭、天门、马衙、牛头山、顺安、花园、香隅、九华山、升金湖、福山、千军、新竹、广德、新芜、郎溪、石涧、仓头、南陵、寒亭、南漪湖、月湾、釜山、全椒、文集、大墅、香泉、滁州、巢湖、清溪、太白、太白岛、皇甫山、仓镇。）</w:t>
            </w:r>
            <w:r>
              <w:rPr>
                <w:rFonts w:ascii="宋体" w:eastAsia="宋体" w:hAnsi="宋体" w:cs="宋体" w:hint="eastAsia"/>
                <w:sz w:val="18"/>
                <w:szCs w:val="18"/>
                <w:lang w:bidi="ar"/>
              </w:rPr>
              <w:t>充电宝租赁自主或加盟品牌，该品牌在商标局注册。</w:t>
            </w:r>
          </w:p>
          <w:p w:rsidR="00D15BAB" w:rsidRDefault="00D15BAB">
            <w:pPr>
              <w:widowControl/>
              <w:jc w:val="left"/>
              <w:rPr>
                <w:sz w:val="18"/>
                <w:szCs w:val="18"/>
              </w:rPr>
            </w:pPr>
          </w:p>
        </w:tc>
        <w:tc>
          <w:tcPr>
            <w:tcW w:w="1187" w:type="dxa"/>
            <w:tcMar>
              <w:top w:w="15" w:type="dxa"/>
              <w:left w:w="15" w:type="dxa"/>
              <w:bottom w:w="15" w:type="dxa"/>
              <w:right w:w="15" w:type="dxa"/>
            </w:tcMar>
            <w:vAlign w:val="center"/>
          </w:tcPr>
          <w:p w:rsidR="00D15BAB" w:rsidRDefault="00AE4A3C">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D15BAB" w:rsidRDefault="00D15BAB">
            <w:pPr>
              <w:jc w:val="center"/>
              <w:rPr>
                <w:sz w:val="18"/>
                <w:szCs w:val="18"/>
              </w:rPr>
            </w:pPr>
          </w:p>
        </w:tc>
      </w:tr>
    </w:tbl>
    <w:p w:rsidR="00D15BAB" w:rsidRDefault="00D15BAB">
      <w:pPr>
        <w:widowControl/>
        <w:jc w:val="left"/>
        <w:rPr>
          <w:rFonts w:ascii="宋体" w:eastAsia="宋体" w:hAnsi="宋体" w:cs="宋体"/>
          <w:b/>
          <w:bCs/>
          <w:color w:val="363636"/>
          <w:kern w:val="0"/>
          <w:sz w:val="24"/>
          <w:szCs w:val="24"/>
        </w:rPr>
      </w:pPr>
    </w:p>
    <w:p w:rsidR="00D15BAB" w:rsidRDefault="00AE4A3C">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（三）报名单位需从公告日前算起12个月内，与公司合作项目未发生恶意拖欠租金等费用情况的；</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年6月23日至20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A933F6">
        <w:rPr>
          <w:rFonts w:ascii="宋体" w:eastAsia="宋体" w:hAnsi="宋体" w:cs="宋体"/>
          <w:b/>
          <w:bCs/>
          <w:color w:val="363636"/>
          <w:kern w:val="0"/>
          <w:szCs w:val="21"/>
        </w:rPr>
        <w:t>7</w:t>
      </w:r>
      <w:r>
        <w:rPr>
          <w:rFonts w:ascii="宋体" w:eastAsia="宋体" w:hAnsi="宋体" w:cs="宋体" w:hint="eastAsia"/>
          <w:b/>
          <w:bCs/>
          <w:color w:val="363636"/>
          <w:kern w:val="0"/>
          <w:szCs w:val="21"/>
        </w:rPr>
        <w:t>月</w:t>
      </w:r>
      <w:r w:rsidR="00A933F6">
        <w:rPr>
          <w:rFonts w:ascii="宋体" w:eastAsia="宋体" w:hAnsi="宋体" w:cs="宋体"/>
          <w:b/>
          <w:bCs/>
          <w:color w:val="363636"/>
          <w:kern w:val="0"/>
          <w:szCs w:val="21"/>
        </w:rPr>
        <w:t>1</w:t>
      </w:r>
      <w:r>
        <w:rPr>
          <w:rFonts w:ascii="宋体" w:eastAsia="宋体" w:hAnsi="宋体" w:cs="宋体" w:hint="eastAsia"/>
          <w:b/>
          <w:bCs/>
          <w:color w:val="363636"/>
          <w:kern w:val="0"/>
          <w:szCs w:val="21"/>
        </w:rPr>
        <w:t xml:space="preserve">日（网上报名及网上下载招租资料。）  </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D15BAB" w:rsidRDefault="00AE4A3C">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D15BAB" w:rsidRDefault="00AE4A3C">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D15BAB" w:rsidRDefault="00AE4A3C">
      <w:pPr>
        <w:widowControl/>
        <w:jc w:val="left"/>
        <w:rPr>
          <w:b/>
          <w:bCs/>
          <w:color w:val="363636"/>
          <w:szCs w:val="21"/>
        </w:rPr>
      </w:pPr>
      <w:r>
        <w:rPr>
          <w:rFonts w:ascii="宋体" w:eastAsia="宋体" w:hAnsi="宋体" w:cs="宋体" w:hint="eastAsia"/>
          <w:b/>
          <w:bCs/>
          <w:color w:val="363636"/>
          <w:kern w:val="0"/>
          <w:szCs w:val="21"/>
        </w:rPr>
        <w:t>七、发布公告的媒介</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D15BAB" w:rsidRDefault="00D15BAB"/>
    <w:sectPr w:rsidR="00D15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52" w:rsidRDefault="00EA6652" w:rsidP="00381AFF">
      <w:r>
        <w:separator/>
      </w:r>
    </w:p>
  </w:endnote>
  <w:endnote w:type="continuationSeparator" w:id="0">
    <w:p w:rsidR="00EA6652" w:rsidRDefault="00EA6652" w:rsidP="0038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52" w:rsidRDefault="00EA6652" w:rsidP="00381AFF">
      <w:r>
        <w:separator/>
      </w:r>
    </w:p>
  </w:footnote>
  <w:footnote w:type="continuationSeparator" w:id="0">
    <w:p w:rsidR="00EA6652" w:rsidRDefault="00EA6652" w:rsidP="0038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332C"/>
    <w:rsid w:val="00041886"/>
    <w:rsid w:val="000538F9"/>
    <w:rsid w:val="00061CFE"/>
    <w:rsid w:val="000A115B"/>
    <w:rsid w:val="000C227D"/>
    <w:rsid w:val="000C4F0B"/>
    <w:rsid w:val="000E41FE"/>
    <w:rsid w:val="000F2E2E"/>
    <w:rsid w:val="00113707"/>
    <w:rsid w:val="00113882"/>
    <w:rsid w:val="00122D2E"/>
    <w:rsid w:val="00135D6A"/>
    <w:rsid w:val="00157A6D"/>
    <w:rsid w:val="00183A85"/>
    <w:rsid w:val="00183AD1"/>
    <w:rsid w:val="00190D88"/>
    <w:rsid w:val="001B0005"/>
    <w:rsid w:val="001F0A37"/>
    <w:rsid w:val="0020468B"/>
    <w:rsid w:val="0023136C"/>
    <w:rsid w:val="00253FFC"/>
    <w:rsid w:val="002634BD"/>
    <w:rsid w:val="00287331"/>
    <w:rsid w:val="0030197E"/>
    <w:rsid w:val="00330B2A"/>
    <w:rsid w:val="003402E5"/>
    <w:rsid w:val="00344BC7"/>
    <w:rsid w:val="003702F1"/>
    <w:rsid w:val="00380872"/>
    <w:rsid w:val="00381AFF"/>
    <w:rsid w:val="003C4F76"/>
    <w:rsid w:val="00400E93"/>
    <w:rsid w:val="00444CB5"/>
    <w:rsid w:val="004B31EA"/>
    <w:rsid w:val="004C4BE2"/>
    <w:rsid w:val="004D12C1"/>
    <w:rsid w:val="004E4DA2"/>
    <w:rsid w:val="004F22A4"/>
    <w:rsid w:val="004F45ED"/>
    <w:rsid w:val="005051ED"/>
    <w:rsid w:val="005140C0"/>
    <w:rsid w:val="00534194"/>
    <w:rsid w:val="00545C4A"/>
    <w:rsid w:val="00556ABC"/>
    <w:rsid w:val="00556FC6"/>
    <w:rsid w:val="00566F40"/>
    <w:rsid w:val="005845EF"/>
    <w:rsid w:val="005D07CB"/>
    <w:rsid w:val="005D4B1C"/>
    <w:rsid w:val="005E0685"/>
    <w:rsid w:val="005E6B31"/>
    <w:rsid w:val="005F10A9"/>
    <w:rsid w:val="005F4D95"/>
    <w:rsid w:val="0063119E"/>
    <w:rsid w:val="0065743D"/>
    <w:rsid w:val="00676FE8"/>
    <w:rsid w:val="00687A29"/>
    <w:rsid w:val="006C7ABA"/>
    <w:rsid w:val="006D2AE0"/>
    <w:rsid w:val="006F15BB"/>
    <w:rsid w:val="007532D3"/>
    <w:rsid w:val="00797715"/>
    <w:rsid w:val="007C0081"/>
    <w:rsid w:val="007E469A"/>
    <w:rsid w:val="007E7EAB"/>
    <w:rsid w:val="00800A4E"/>
    <w:rsid w:val="00802A9A"/>
    <w:rsid w:val="00824781"/>
    <w:rsid w:val="008448D6"/>
    <w:rsid w:val="008577C5"/>
    <w:rsid w:val="008606BD"/>
    <w:rsid w:val="008721BC"/>
    <w:rsid w:val="008863FA"/>
    <w:rsid w:val="00890E23"/>
    <w:rsid w:val="008B3A61"/>
    <w:rsid w:val="008F13E1"/>
    <w:rsid w:val="00920CFC"/>
    <w:rsid w:val="009244DD"/>
    <w:rsid w:val="00941B2C"/>
    <w:rsid w:val="00947CD4"/>
    <w:rsid w:val="00966EBF"/>
    <w:rsid w:val="009A4739"/>
    <w:rsid w:val="009D4571"/>
    <w:rsid w:val="00A26483"/>
    <w:rsid w:val="00A3669D"/>
    <w:rsid w:val="00A5724D"/>
    <w:rsid w:val="00A57E8C"/>
    <w:rsid w:val="00A862A4"/>
    <w:rsid w:val="00A933F6"/>
    <w:rsid w:val="00AC12C0"/>
    <w:rsid w:val="00AE4A3C"/>
    <w:rsid w:val="00AE5388"/>
    <w:rsid w:val="00AE7BD4"/>
    <w:rsid w:val="00B428A9"/>
    <w:rsid w:val="00B54982"/>
    <w:rsid w:val="00B56F82"/>
    <w:rsid w:val="00B600A1"/>
    <w:rsid w:val="00B749E3"/>
    <w:rsid w:val="00BA4D29"/>
    <w:rsid w:val="00BC3011"/>
    <w:rsid w:val="00BC4FAF"/>
    <w:rsid w:val="00BC62F1"/>
    <w:rsid w:val="00BF29C4"/>
    <w:rsid w:val="00C11288"/>
    <w:rsid w:val="00C4522C"/>
    <w:rsid w:val="00C45E1E"/>
    <w:rsid w:val="00C57AE4"/>
    <w:rsid w:val="00C94AC8"/>
    <w:rsid w:val="00CB5265"/>
    <w:rsid w:val="00CB5F3C"/>
    <w:rsid w:val="00CD7309"/>
    <w:rsid w:val="00CF6365"/>
    <w:rsid w:val="00D15BAB"/>
    <w:rsid w:val="00D21AED"/>
    <w:rsid w:val="00D261DD"/>
    <w:rsid w:val="00D36EE1"/>
    <w:rsid w:val="00D4043E"/>
    <w:rsid w:val="00D86690"/>
    <w:rsid w:val="00DF42CD"/>
    <w:rsid w:val="00DF6A93"/>
    <w:rsid w:val="00E126DB"/>
    <w:rsid w:val="00E21CD0"/>
    <w:rsid w:val="00EA4DBF"/>
    <w:rsid w:val="00EA6652"/>
    <w:rsid w:val="00EB5213"/>
    <w:rsid w:val="00EB6432"/>
    <w:rsid w:val="00F320CA"/>
    <w:rsid w:val="00F41693"/>
    <w:rsid w:val="00F43E99"/>
    <w:rsid w:val="00F63FEA"/>
    <w:rsid w:val="00F6565B"/>
    <w:rsid w:val="00F93715"/>
    <w:rsid w:val="00F94380"/>
    <w:rsid w:val="00FC352B"/>
    <w:rsid w:val="00FC3D4E"/>
    <w:rsid w:val="09E0397B"/>
    <w:rsid w:val="2A91370D"/>
    <w:rsid w:val="3AB0396B"/>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1173E-364E-425C-91AF-F7E9013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qFormat/>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83</cp:revision>
  <cp:lastPrinted>2019-12-16T01:37:00Z</cp:lastPrinted>
  <dcterms:created xsi:type="dcterms:W3CDTF">2019-07-12T02:51:00Z</dcterms:created>
  <dcterms:modified xsi:type="dcterms:W3CDTF">2020-06-23T07:07:00Z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